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0293" w:rsidRPr="008F1269" w:rsidRDefault="005B0293" w:rsidP="005B0293">
      <w:pPr>
        <w:pStyle w:val="Heading1"/>
        <w:adjustRightInd w:val="0"/>
        <w:snapToGrid w:val="0"/>
        <w:spacing w:before="60" w:after="0" w:line="312" w:lineRule="auto"/>
        <w:rPr>
          <w:lang w:val="vi-VN"/>
        </w:rPr>
      </w:pPr>
      <w:bookmarkStart w:id="0" w:name="_Toc85549789"/>
      <w:bookmarkStart w:id="1" w:name="_Toc87763353"/>
      <w:bookmarkStart w:id="2" w:name="_Toc93272200"/>
      <w:bookmarkStart w:id="3" w:name="_Toc140398910"/>
      <w:bookmarkStart w:id="4" w:name="_Toc141360705"/>
      <w:bookmarkStart w:id="5" w:name="_Toc142836855"/>
      <w:bookmarkStart w:id="6" w:name="_Toc142987632"/>
      <w:bookmarkStart w:id="7" w:name="_Toc143067318"/>
      <w:bookmarkStart w:id="8" w:name="_Toc153333272"/>
      <w:r w:rsidRPr="008F1269">
        <w:rPr>
          <w:lang w:val="vi-VN"/>
        </w:rPr>
        <w:t>2</w:t>
      </w:r>
      <w:r w:rsidRPr="008F1269">
        <w:t>9</w:t>
      </w:r>
      <w:r>
        <w:rPr>
          <w:lang w:val="vi-VN"/>
        </w:rPr>
        <w:t>4</w:t>
      </w:r>
      <w:r w:rsidRPr="008F1269">
        <w:t xml:space="preserve">. </w:t>
      </w:r>
      <w:r w:rsidRPr="008F1269">
        <w:rPr>
          <w:lang w:val="vi-VN"/>
        </w:rPr>
        <w:t>VƯƠNG QUỐC PAGAN (1044</w:t>
      </w:r>
      <w:r w:rsidRPr="008F1269">
        <w:t xml:space="preserve"> </w:t>
      </w:r>
      <w:r>
        <w:rPr>
          <w:lang w:val="vi-VN"/>
        </w:rPr>
        <w:t>–</w:t>
      </w:r>
      <w:r w:rsidRPr="008F1269">
        <w:t xml:space="preserve"> </w:t>
      </w:r>
      <w:r w:rsidRPr="008F1269">
        <w:rPr>
          <w:lang w:val="vi-VN"/>
        </w:rPr>
        <w:t>1287)</w:t>
      </w:r>
      <w:bookmarkEnd w:id="0"/>
      <w:bookmarkEnd w:id="1"/>
      <w:bookmarkEnd w:id="2"/>
      <w:bookmarkEnd w:id="3"/>
      <w:bookmarkEnd w:id="4"/>
      <w:bookmarkEnd w:id="5"/>
      <w:bookmarkEnd w:id="6"/>
      <w:bookmarkEnd w:id="7"/>
      <w:bookmarkEnd w:id="8"/>
    </w:p>
    <w:p w:rsidR="005B0293" w:rsidRDefault="005B0293" w:rsidP="005B0293">
      <w:pPr>
        <w:adjustRightInd w:val="0"/>
        <w:snapToGrid w:val="0"/>
        <w:spacing w:before="60" w:line="312" w:lineRule="auto"/>
        <w:ind w:firstLine="567"/>
        <w:jc w:val="both"/>
        <w:rPr>
          <w:szCs w:val="28"/>
          <w:lang w:val="vi-VN"/>
        </w:rPr>
      </w:pPr>
      <w:r w:rsidRPr="008F1269">
        <w:rPr>
          <w:szCs w:val="28"/>
          <w:lang w:val="vi-VN"/>
        </w:rPr>
        <w:t>cg. Bagan, hay Arimaddanapura (</w:t>
      </w:r>
      <w:r w:rsidRPr="008F1269">
        <w:rPr>
          <w:i/>
          <w:szCs w:val="28"/>
          <w:lang w:val="vi-VN"/>
        </w:rPr>
        <w:t>Thành phố của Người chinh phục Kẻ thù</w:t>
      </w:r>
      <w:r w:rsidRPr="008F1269">
        <w:rPr>
          <w:szCs w:val="28"/>
          <w:lang w:val="vi-VN"/>
        </w:rPr>
        <w:t>).</w:t>
      </w:r>
    </w:p>
    <w:p w:rsidR="005B0293" w:rsidRPr="008F1269" w:rsidRDefault="005B0293" w:rsidP="005B0293">
      <w:pPr>
        <w:adjustRightInd w:val="0"/>
        <w:snapToGrid w:val="0"/>
        <w:spacing w:before="60" w:line="312" w:lineRule="auto"/>
        <w:ind w:firstLine="567"/>
        <w:jc w:val="both"/>
        <w:rPr>
          <w:szCs w:val="28"/>
          <w:lang w:val="vi-VN"/>
        </w:rPr>
      </w:pPr>
      <w:r w:rsidRPr="008F1269">
        <w:rPr>
          <w:szCs w:val="28"/>
          <w:lang w:val="vi-VN"/>
        </w:rPr>
        <w:t xml:space="preserve">đế chế đầu tiên trong lịch sử Myanmar, có kinh đô là thành Pagan thuộc vùng Thượng Miến, </w:t>
      </w:r>
    </w:p>
    <w:p w:rsidR="005B0293" w:rsidRPr="008F1269" w:rsidRDefault="005B0293" w:rsidP="005B0293">
      <w:pPr>
        <w:adjustRightInd w:val="0"/>
        <w:snapToGrid w:val="0"/>
        <w:spacing w:before="60" w:line="312" w:lineRule="auto"/>
        <w:ind w:firstLine="567"/>
        <w:jc w:val="both"/>
        <w:rPr>
          <w:szCs w:val="28"/>
          <w:lang w:val="vi-VN"/>
        </w:rPr>
      </w:pPr>
      <w:r w:rsidRPr="008F1269">
        <w:rPr>
          <w:szCs w:val="28"/>
          <w:lang w:val="vi-VN"/>
        </w:rPr>
        <w:t xml:space="preserve">Lãnh thổ Myanmar ngày nay là không gian của nhiều nền văn hóa kim khí thời tiền sử. Tính chất đa dạng tộc người và quá trình chuyển cư liên tục tác động sâu sắc tới diễn trình lịch sử vùng đất này. Nhà nước sơ </w:t>
      </w:r>
      <w:r>
        <w:rPr>
          <w:szCs w:val="28"/>
          <w:lang w:val="vi-VN"/>
        </w:rPr>
        <w:t xml:space="preserve">kỳ </w:t>
      </w:r>
      <w:r w:rsidRPr="008F1269">
        <w:rPr>
          <w:szCs w:val="28"/>
          <w:lang w:val="vi-VN"/>
        </w:rPr>
        <w:t>đầu tiên là của người Pyu vốn di cư vào lưu vực Irrawaddy từ Vân Nam. Tới thế k</w:t>
      </w:r>
      <w:r w:rsidRPr="00EF7BC0">
        <w:rPr>
          <w:szCs w:val="28"/>
          <w:lang w:val="vi-VN"/>
        </w:rPr>
        <w:t>ỷ</w:t>
      </w:r>
      <w:r w:rsidRPr="008F1269">
        <w:rPr>
          <w:szCs w:val="28"/>
          <w:lang w:val="vi-VN"/>
        </w:rPr>
        <w:t xml:space="preserve"> VI có các vương quốc của người Môn tại vùng Hạ Miến. Với sự mở rộng của vương quốc Nam Chiếu (Vân Nam) ở thế k</w:t>
      </w:r>
      <w:r w:rsidRPr="00EF7BC0">
        <w:rPr>
          <w:szCs w:val="28"/>
          <w:lang w:val="vi-VN"/>
        </w:rPr>
        <w:t>ỷ</w:t>
      </w:r>
      <w:r w:rsidRPr="008F1269">
        <w:rPr>
          <w:szCs w:val="28"/>
          <w:lang w:val="vi-VN"/>
        </w:rPr>
        <w:t xml:space="preserve"> IX, người Miến bắt đầu di cư vào thượng lưu </w:t>
      </w:r>
      <w:r>
        <w:rPr>
          <w:szCs w:val="28"/>
          <w:lang w:val="vi-VN"/>
        </w:rPr>
        <w:t>Sông</w:t>
      </w:r>
      <w:r w:rsidRPr="008F1269">
        <w:rPr>
          <w:szCs w:val="28"/>
          <w:lang w:val="vi-VN"/>
        </w:rPr>
        <w:t xml:space="preserve"> Irrawaddy. Khoảng năm 850, khu định cư Pagan được xác lập. </w:t>
      </w:r>
    </w:p>
    <w:p w:rsidR="005B0293" w:rsidRPr="008F1269" w:rsidRDefault="005B0293" w:rsidP="005B0293">
      <w:pPr>
        <w:adjustRightInd w:val="0"/>
        <w:snapToGrid w:val="0"/>
        <w:spacing w:before="60" w:line="312" w:lineRule="auto"/>
        <w:ind w:firstLine="567"/>
        <w:jc w:val="both"/>
        <w:rPr>
          <w:szCs w:val="28"/>
          <w:lang w:val="vi-VN"/>
        </w:rPr>
      </w:pPr>
      <w:r w:rsidRPr="008F1269">
        <w:rPr>
          <w:szCs w:val="28"/>
          <w:lang w:val="vi-VN"/>
        </w:rPr>
        <w:t xml:space="preserve">Pagan tọa lạc gần nơi hợp lưu của </w:t>
      </w:r>
      <w:r>
        <w:rPr>
          <w:szCs w:val="28"/>
          <w:lang w:val="vi-VN"/>
        </w:rPr>
        <w:t>Sông</w:t>
      </w:r>
      <w:r w:rsidRPr="008F1269">
        <w:rPr>
          <w:szCs w:val="28"/>
          <w:lang w:val="vi-VN"/>
        </w:rPr>
        <w:t xml:space="preserve"> Irrawaddy và Chindwin, giúp kiểm soát các tuyến giao thương qua Assam, Vân Nam, và thung lũng Sittang. Khu vực này còn sở hữu các “vựa lúa” của Myanmar là Kyaukse và Minbu. Tại đây, người Miến còn kế thừa thành tựu phát triển của người Pyu đồng thời tiếp thu tôn giáo và chữ viết nguồn gốc Ấn Độ từ người Môn. Đó là cơ sở để trong vòng hai thế k</w:t>
      </w:r>
      <w:r w:rsidRPr="00EF7BC0">
        <w:rPr>
          <w:szCs w:val="28"/>
          <w:lang w:val="vi-VN"/>
        </w:rPr>
        <w:t>ỷ</w:t>
      </w:r>
      <w:r w:rsidRPr="008F1269">
        <w:rPr>
          <w:szCs w:val="28"/>
          <w:lang w:val="vi-VN"/>
        </w:rPr>
        <w:t>, VQP phát triển từ 19 ngôi làng thành trung tâm lớn mạnh trải dài theo chiều bắc</w:t>
      </w:r>
      <w:r w:rsidRPr="005B0293">
        <w:rPr>
          <w:szCs w:val="28"/>
          <w:lang w:val="vi-VN"/>
        </w:rPr>
        <w:t xml:space="preserve"> </w:t>
      </w:r>
      <w:r>
        <w:rPr>
          <w:szCs w:val="28"/>
          <w:lang w:val="vi-VN"/>
        </w:rPr>
        <w:t>–</w:t>
      </w:r>
      <w:r w:rsidRPr="005B0293">
        <w:rPr>
          <w:szCs w:val="28"/>
          <w:lang w:val="vi-VN"/>
        </w:rPr>
        <w:t xml:space="preserve"> </w:t>
      </w:r>
      <w:r w:rsidRPr="008F1269">
        <w:rPr>
          <w:szCs w:val="28"/>
          <w:lang w:val="vi-VN"/>
        </w:rPr>
        <w:t>nam là 200 dặm và đông</w:t>
      </w:r>
      <w:r w:rsidRPr="005B0293">
        <w:rPr>
          <w:szCs w:val="28"/>
          <w:lang w:val="vi-VN"/>
        </w:rPr>
        <w:t xml:space="preserve"> </w:t>
      </w:r>
      <w:r>
        <w:rPr>
          <w:szCs w:val="28"/>
          <w:lang w:val="vi-VN"/>
        </w:rPr>
        <w:t>–</w:t>
      </w:r>
      <w:r w:rsidRPr="005B0293">
        <w:rPr>
          <w:szCs w:val="28"/>
          <w:lang w:val="vi-VN"/>
        </w:rPr>
        <w:t xml:space="preserve"> </w:t>
      </w:r>
      <w:r w:rsidRPr="008F1269">
        <w:rPr>
          <w:szCs w:val="28"/>
          <w:lang w:val="vi-VN"/>
        </w:rPr>
        <w:t xml:space="preserve">tây là 80 dặm (1044). </w:t>
      </w:r>
    </w:p>
    <w:p w:rsidR="005B0293" w:rsidRPr="008F1269" w:rsidRDefault="005B0293" w:rsidP="005B0293">
      <w:pPr>
        <w:adjustRightInd w:val="0"/>
        <w:snapToGrid w:val="0"/>
        <w:spacing w:before="60" w:line="312" w:lineRule="auto"/>
        <w:ind w:firstLine="567"/>
        <w:jc w:val="both"/>
        <w:rPr>
          <w:szCs w:val="28"/>
          <w:lang w:val="vi-VN"/>
        </w:rPr>
      </w:pPr>
      <w:r>
        <w:rPr>
          <w:szCs w:val="28"/>
          <w:lang w:val="vi-VN"/>
        </w:rPr>
        <w:t xml:space="preserve">Vương quốc Pangan (vt. </w:t>
      </w:r>
      <w:r w:rsidRPr="008F1269">
        <w:rPr>
          <w:szCs w:val="28"/>
          <w:lang w:val="vi-VN"/>
        </w:rPr>
        <w:t>VQP</w:t>
      </w:r>
      <w:r>
        <w:rPr>
          <w:szCs w:val="28"/>
          <w:lang w:val="vi-VN"/>
        </w:rPr>
        <w:t>)</w:t>
      </w:r>
      <w:r w:rsidRPr="008F1269">
        <w:rPr>
          <w:szCs w:val="28"/>
          <w:lang w:val="vi-VN"/>
        </w:rPr>
        <w:t xml:space="preserve"> phát triển đỉnh cao ở thế k</w:t>
      </w:r>
      <w:r w:rsidRPr="00EF7BC0">
        <w:rPr>
          <w:szCs w:val="28"/>
          <w:lang w:val="vi-VN"/>
        </w:rPr>
        <w:t>ỷ</w:t>
      </w:r>
      <w:r w:rsidRPr="008F1269">
        <w:rPr>
          <w:szCs w:val="28"/>
          <w:lang w:val="vi-VN"/>
        </w:rPr>
        <w:t xml:space="preserve"> XI</w:t>
      </w:r>
      <w:r w:rsidRPr="00EF7BC0">
        <w:rPr>
          <w:szCs w:val="28"/>
          <w:lang w:val="vi-VN"/>
        </w:rPr>
        <w:t xml:space="preserve"> </w:t>
      </w:r>
      <w:r>
        <w:rPr>
          <w:szCs w:val="28"/>
          <w:lang w:val="vi-VN"/>
        </w:rPr>
        <w:t>–</w:t>
      </w:r>
      <w:r w:rsidRPr="00EF7BC0">
        <w:rPr>
          <w:szCs w:val="28"/>
          <w:lang w:val="vi-VN"/>
        </w:rPr>
        <w:t xml:space="preserve"> </w:t>
      </w:r>
      <w:r w:rsidRPr="008F1269">
        <w:rPr>
          <w:szCs w:val="28"/>
          <w:lang w:val="vi-VN"/>
        </w:rPr>
        <w:t xml:space="preserve">XII dưới thời </w:t>
      </w:r>
      <w:r>
        <w:rPr>
          <w:szCs w:val="28"/>
          <w:lang w:val="vi-VN"/>
        </w:rPr>
        <w:t xml:space="preserve">kỳ </w:t>
      </w:r>
      <w:r w:rsidRPr="008F1269">
        <w:rPr>
          <w:szCs w:val="28"/>
          <w:lang w:val="vi-VN"/>
        </w:rPr>
        <w:t xml:space="preserve">trị vì của </w:t>
      </w:r>
      <w:r>
        <w:rPr>
          <w:szCs w:val="28"/>
          <w:lang w:val="vi-VN"/>
        </w:rPr>
        <w:t>Vua</w:t>
      </w:r>
      <w:r w:rsidRPr="008F1269">
        <w:rPr>
          <w:szCs w:val="28"/>
          <w:lang w:val="vi-VN"/>
        </w:rPr>
        <w:t xml:space="preserve"> Anawrahta (1044</w:t>
      </w:r>
      <w:r w:rsidRPr="00EF7BC0">
        <w:rPr>
          <w:szCs w:val="28"/>
          <w:lang w:val="vi-VN"/>
        </w:rPr>
        <w:t xml:space="preserve"> </w:t>
      </w:r>
      <w:r>
        <w:rPr>
          <w:szCs w:val="28"/>
          <w:lang w:val="vi-VN"/>
        </w:rPr>
        <w:t>–</w:t>
      </w:r>
      <w:r w:rsidRPr="00EF7BC0">
        <w:rPr>
          <w:szCs w:val="28"/>
          <w:lang w:val="vi-VN"/>
        </w:rPr>
        <w:t xml:space="preserve"> </w:t>
      </w:r>
      <w:r w:rsidRPr="008F1269">
        <w:rPr>
          <w:szCs w:val="28"/>
          <w:lang w:val="vi-VN"/>
        </w:rPr>
        <w:t>1077), Kyanzittha (1084</w:t>
      </w:r>
      <w:r w:rsidRPr="00EF7BC0">
        <w:rPr>
          <w:szCs w:val="28"/>
          <w:lang w:val="vi-VN"/>
        </w:rPr>
        <w:t xml:space="preserve"> </w:t>
      </w:r>
      <w:r>
        <w:rPr>
          <w:szCs w:val="28"/>
          <w:lang w:val="vi-VN"/>
        </w:rPr>
        <w:t>–</w:t>
      </w:r>
      <w:r w:rsidRPr="00EF7BC0">
        <w:rPr>
          <w:szCs w:val="28"/>
          <w:lang w:val="vi-VN"/>
        </w:rPr>
        <w:t xml:space="preserve"> </w:t>
      </w:r>
      <w:r w:rsidRPr="008F1269">
        <w:rPr>
          <w:szCs w:val="28"/>
          <w:lang w:val="vi-VN"/>
        </w:rPr>
        <w:t>1113), Alaungsithu (1113</w:t>
      </w:r>
      <w:r w:rsidRPr="00EF7BC0">
        <w:rPr>
          <w:szCs w:val="28"/>
          <w:lang w:val="vi-VN"/>
        </w:rPr>
        <w:t xml:space="preserve"> </w:t>
      </w:r>
      <w:r>
        <w:rPr>
          <w:szCs w:val="28"/>
          <w:lang w:val="vi-VN"/>
        </w:rPr>
        <w:t>–</w:t>
      </w:r>
      <w:r w:rsidRPr="00EF7BC0">
        <w:rPr>
          <w:szCs w:val="28"/>
          <w:lang w:val="vi-VN"/>
        </w:rPr>
        <w:t xml:space="preserve"> </w:t>
      </w:r>
      <w:r w:rsidRPr="008F1269">
        <w:rPr>
          <w:szCs w:val="28"/>
          <w:lang w:val="vi-VN"/>
        </w:rPr>
        <w:t>1167), và Narapatisithu (1173</w:t>
      </w:r>
      <w:r w:rsidRPr="00EF7BC0">
        <w:rPr>
          <w:szCs w:val="28"/>
          <w:lang w:val="vi-VN"/>
        </w:rPr>
        <w:t xml:space="preserve"> </w:t>
      </w:r>
      <w:r>
        <w:rPr>
          <w:szCs w:val="28"/>
          <w:lang w:val="vi-VN"/>
        </w:rPr>
        <w:t>–</w:t>
      </w:r>
      <w:r w:rsidRPr="00EF7BC0">
        <w:rPr>
          <w:szCs w:val="28"/>
          <w:lang w:val="vi-VN"/>
        </w:rPr>
        <w:t xml:space="preserve"> </w:t>
      </w:r>
      <w:r w:rsidRPr="008F1269">
        <w:rPr>
          <w:szCs w:val="28"/>
          <w:lang w:val="vi-VN"/>
        </w:rPr>
        <w:t xml:space="preserve">1210). Những người này đã mở rộng lãnh thổ ra phần lớn Myanmar hiện nay tới vùng duyên hải Tenasserim. </w:t>
      </w:r>
    </w:p>
    <w:p w:rsidR="005B0293" w:rsidRPr="008F1269" w:rsidRDefault="005B0293" w:rsidP="005B0293">
      <w:pPr>
        <w:adjustRightInd w:val="0"/>
        <w:snapToGrid w:val="0"/>
        <w:spacing w:before="60" w:line="312" w:lineRule="auto"/>
        <w:ind w:firstLine="567"/>
        <w:jc w:val="both"/>
        <w:rPr>
          <w:szCs w:val="28"/>
          <w:lang w:val="vi-VN"/>
        </w:rPr>
      </w:pPr>
      <w:r w:rsidRPr="008F1269">
        <w:rPr>
          <w:szCs w:val="28"/>
          <w:lang w:val="vi-VN"/>
        </w:rPr>
        <w:t xml:space="preserve">Anawrahta là </w:t>
      </w:r>
      <w:r>
        <w:rPr>
          <w:szCs w:val="28"/>
          <w:lang w:val="vi-VN"/>
        </w:rPr>
        <w:t>vua</w:t>
      </w:r>
      <w:r w:rsidRPr="008F1269">
        <w:rPr>
          <w:szCs w:val="28"/>
          <w:lang w:val="vi-VN"/>
        </w:rPr>
        <w:t xml:space="preserve"> tài năng mở đầu cho vương triều cầm quyền của 11 vị vua kéo dài 250 năm. Ông đã chinh phục toàn bộ vùng châu thổ Irrawaddy, mở cánh cửa ra biển cho VQP. Lãnh thổ VQP được mở rộng về phía tây bắc tới Arakan và Chittagong, về phía đông bắc tới Bahmo và Tali. Anawrahta cũng là người đặt nền móng cho việc thống nhất không gian chính trị đa tộc người trên lãnh thổ Myanmar. </w:t>
      </w:r>
    </w:p>
    <w:p w:rsidR="005B0293" w:rsidRPr="008F1269" w:rsidRDefault="005B0293" w:rsidP="005B0293">
      <w:pPr>
        <w:pStyle w:val="NoSpacing"/>
        <w:adjustRightInd w:val="0"/>
        <w:snapToGrid w:val="0"/>
        <w:spacing w:before="60" w:line="312" w:lineRule="auto"/>
        <w:ind w:firstLine="567"/>
        <w:jc w:val="both"/>
        <w:rPr>
          <w:rFonts w:ascii="Times New Roman" w:hAnsi="Times New Roman"/>
          <w:sz w:val="28"/>
          <w:szCs w:val="28"/>
          <w:lang w:val="vi-VN"/>
        </w:rPr>
      </w:pPr>
      <w:r w:rsidRPr="008F1269">
        <w:rPr>
          <w:rFonts w:ascii="Times New Roman" w:hAnsi="Times New Roman"/>
          <w:sz w:val="28"/>
          <w:szCs w:val="28"/>
          <w:lang w:val="vi-VN"/>
        </w:rPr>
        <w:t xml:space="preserve">Trong giai đoạn này, Phật giáo Theravada đóng vai trò quốc giáo, chi phối đời sống chính trị, xã hội Myanmar. Các </w:t>
      </w:r>
      <w:r w:rsidRPr="00EF7BC0">
        <w:rPr>
          <w:rFonts w:ascii="Times New Roman" w:hAnsi="Times New Roman"/>
          <w:sz w:val="28"/>
          <w:szCs w:val="28"/>
          <w:lang w:val="vi-VN"/>
        </w:rPr>
        <w:t>v</w:t>
      </w:r>
      <w:r>
        <w:rPr>
          <w:rFonts w:ascii="Times New Roman" w:hAnsi="Times New Roman"/>
          <w:sz w:val="28"/>
          <w:szCs w:val="28"/>
          <w:lang w:val="vi-VN"/>
        </w:rPr>
        <w:t>ua</w:t>
      </w:r>
      <w:r w:rsidRPr="008F1269">
        <w:rPr>
          <w:rFonts w:ascii="Times New Roman" w:hAnsi="Times New Roman"/>
          <w:sz w:val="28"/>
          <w:szCs w:val="28"/>
          <w:lang w:val="vi-VN"/>
        </w:rPr>
        <w:t xml:space="preserve"> của VQP cai trị với danh hiệu </w:t>
      </w:r>
      <w:r w:rsidRPr="008F1269">
        <w:rPr>
          <w:rFonts w:ascii="Times New Roman" w:hAnsi="Times New Roman"/>
          <w:i/>
          <w:sz w:val="28"/>
          <w:szCs w:val="28"/>
          <w:lang w:val="vi-VN"/>
        </w:rPr>
        <w:t>Chakravartin</w:t>
      </w:r>
      <w:r w:rsidRPr="008F1269">
        <w:rPr>
          <w:rFonts w:ascii="Times New Roman" w:hAnsi="Times New Roman"/>
          <w:sz w:val="28"/>
          <w:szCs w:val="28"/>
          <w:lang w:val="vi-VN"/>
        </w:rPr>
        <w:t xml:space="preserve"> (</w:t>
      </w:r>
      <w:r w:rsidRPr="008F1269">
        <w:rPr>
          <w:rFonts w:ascii="Times New Roman" w:hAnsi="Times New Roman"/>
          <w:i/>
          <w:sz w:val="28"/>
          <w:szCs w:val="28"/>
          <w:lang w:val="vi-VN"/>
        </w:rPr>
        <w:t>Vua của Vũ trụ</w:t>
      </w:r>
      <w:r w:rsidRPr="008F1269">
        <w:rPr>
          <w:rFonts w:ascii="Times New Roman" w:hAnsi="Times New Roman"/>
          <w:sz w:val="28"/>
          <w:szCs w:val="28"/>
          <w:lang w:val="vi-VN"/>
        </w:rPr>
        <w:t xml:space="preserve">). Anawrahta phái các nhà sư học tập ở Sri Lanka </w:t>
      </w:r>
      <w:r w:rsidRPr="008F1269">
        <w:rPr>
          <w:rFonts w:ascii="Times New Roman" w:hAnsi="Times New Roman"/>
          <w:sz w:val="28"/>
          <w:szCs w:val="28"/>
          <w:lang w:val="vi-VN"/>
        </w:rPr>
        <w:lastRenderedPageBreak/>
        <w:t xml:space="preserve">để cải cách Phật giáo, bắt đầu mối quan hệ chặt chẽ giữa tôn giáo này và chính trị vẫn còn duy trì tới nay. Dưới thời </w:t>
      </w:r>
      <w:r>
        <w:rPr>
          <w:rFonts w:ascii="Times New Roman" w:hAnsi="Times New Roman"/>
          <w:sz w:val="28"/>
          <w:szCs w:val="28"/>
          <w:lang w:val="vi-VN"/>
        </w:rPr>
        <w:t>Vua</w:t>
      </w:r>
      <w:r w:rsidRPr="008F1269">
        <w:rPr>
          <w:rFonts w:ascii="Times New Roman" w:hAnsi="Times New Roman"/>
          <w:sz w:val="28"/>
          <w:szCs w:val="28"/>
          <w:lang w:val="vi-VN"/>
        </w:rPr>
        <w:t xml:space="preserve"> Kyanzittha, Tam tạng Phật giáo (Tripitaka) đã được sửa đổi lại thay thế cho phiên bản ảnh hưởng của người Môn. </w:t>
      </w:r>
    </w:p>
    <w:p w:rsidR="005B0293" w:rsidRPr="008F1269" w:rsidRDefault="005B0293" w:rsidP="005B0293">
      <w:pPr>
        <w:adjustRightInd w:val="0"/>
        <w:snapToGrid w:val="0"/>
        <w:spacing w:before="60" w:line="312" w:lineRule="auto"/>
        <w:ind w:firstLine="567"/>
        <w:jc w:val="both"/>
        <w:rPr>
          <w:szCs w:val="28"/>
          <w:lang w:val="vi-VN"/>
        </w:rPr>
      </w:pPr>
      <w:r w:rsidRPr="008F1269">
        <w:rPr>
          <w:szCs w:val="28"/>
          <w:lang w:val="vi-VN"/>
        </w:rPr>
        <w:t xml:space="preserve">Lãnh thổ vương quốc được chia làm vùng trung tâm do Pagan cai trị trực tiếp và vùng ngoại vi, nơi thủ lĩnh địa phương có quyền lực lớn, chủ yếu ràng buộc qua tuyên thệ trung thành với triều đình. Về kinh tế, nông nghiệp lúa nước là ngành chủ đạo. Các chùa Phật giáo có vai trò lớn trong tổ chức sản xuất và phân phối sản phẩm. VQP còn tiến hành trao đổi thương mại với Ấn Độ qua vịnh Bengal và Vân Nam. </w:t>
      </w:r>
    </w:p>
    <w:p w:rsidR="005B0293" w:rsidRPr="008F1269" w:rsidRDefault="005B0293" w:rsidP="005B0293">
      <w:pPr>
        <w:pStyle w:val="NoSpacing"/>
        <w:adjustRightInd w:val="0"/>
        <w:snapToGrid w:val="0"/>
        <w:spacing w:before="60" w:line="312" w:lineRule="auto"/>
        <w:ind w:firstLine="567"/>
        <w:jc w:val="both"/>
        <w:rPr>
          <w:rFonts w:ascii="Times New Roman" w:hAnsi="Times New Roman"/>
          <w:sz w:val="28"/>
          <w:szCs w:val="28"/>
          <w:lang w:val="vi-VN"/>
        </w:rPr>
      </w:pPr>
      <w:r w:rsidRPr="008F1269">
        <w:rPr>
          <w:rFonts w:ascii="Times New Roman" w:hAnsi="Times New Roman"/>
          <w:sz w:val="28"/>
          <w:szCs w:val="28"/>
          <w:lang w:val="vi-VN"/>
        </w:rPr>
        <w:t xml:space="preserve">Thành tựu nghệ thuật đặc sắc nhất của thời </w:t>
      </w:r>
      <w:r>
        <w:rPr>
          <w:rFonts w:ascii="Times New Roman" w:hAnsi="Times New Roman"/>
          <w:sz w:val="28"/>
          <w:szCs w:val="28"/>
          <w:lang w:val="vi-VN"/>
        </w:rPr>
        <w:t xml:space="preserve">kỳ </w:t>
      </w:r>
      <w:r w:rsidRPr="008F1269">
        <w:rPr>
          <w:rFonts w:ascii="Times New Roman" w:hAnsi="Times New Roman"/>
          <w:sz w:val="28"/>
          <w:szCs w:val="28"/>
          <w:lang w:val="vi-VN"/>
        </w:rPr>
        <w:t>này chính là khu đền tháp Pagan. Hiện nay chỉ còn lại khoảng 3000 tháp trong tổng số gần 10.000 đã được xây dựng từ thế k</w:t>
      </w:r>
      <w:r w:rsidRPr="00EF7BC0">
        <w:rPr>
          <w:rFonts w:ascii="Times New Roman" w:hAnsi="Times New Roman"/>
          <w:sz w:val="28"/>
          <w:szCs w:val="28"/>
          <w:lang w:val="vi-VN"/>
        </w:rPr>
        <w:t>ỷ</w:t>
      </w:r>
      <w:r w:rsidRPr="008F1269">
        <w:rPr>
          <w:rFonts w:ascii="Times New Roman" w:hAnsi="Times New Roman"/>
          <w:sz w:val="28"/>
          <w:szCs w:val="28"/>
          <w:lang w:val="vi-VN"/>
        </w:rPr>
        <w:t xml:space="preserve"> XI đến</w:t>
      </w:r>
      <w:r>
        <w:rPr>
          <w:rFonts w:ascii="Times New Roman" w:hAnsi="Times New Roman"/>
          <w:sz w:val="28"/>
          <w:szCs w:val="28"/>
        </w:rPr>
        <w:t xml:space="preserve"> thế kỷ</w:t>
      </w:r>
      <w:r w:rsidRPr="008F1269">
        <w:rPr>
          <w:rFonts w:ascii="Times New Roman" w:hAnsi="Times New Roman"/>
          <w:sz w:val="28"/>
          <w:szCs w:val="28"/>
          <w:lang w:val="vi-VN"/>
        </w:rPr>
        <w:t xml:space="preserve"> XIII. Các văn bia cho thấy cả hoàng gia và người bình dân tham gia nhiệt thành vào việc xây dựng các ngôi tháp này. Chúng là chứng nhân của một thời </w:t>
      </w:r>
      <w:r>
        <w:rPr>
          <w:rFonts w:ascii="Times New Roman" w:hAnsi="Times New Roman"/>
          <w:sz w:val="28"/>
          <w:szCs w:val="28"/>
          <w:lang w:val="vi-VN"/>
        </w:rPr>
        <w:t xml:space="preserve">kỳ </w:t>
      </w:r>
      <w:r w:rsidRPr="008F1269">
        <w:rPr>
          <w:rFonts w:ascii="Times New Roman" w:hAnsi="Times New Roman"/>
          <w:sz w:val="28"/>
          <w:szCs w:val="28"/>
          <w:lang w:val="vi-VN"/>
        </w:rPr>
        <w:t xml:space="preserve">thịnh vượng kinh tế, phản ánh tài năng của các thợ thủ công, hoạt động tôn giáo sôi động của sư tăng và tín đồ từ quý tộc tới thương nhân, quan chức, binh lính; và bình dân. </w:t>
      </w:r>
    </w:p>
    <w:p w:rsidR="005B0293" w:rsidRPr="008F1269" w:rsidRDefault="005B0293" w:rsidP="005B0293">
      <w:pPr>
        <w:pStyle w:val="NoSpacing"/>
        <w:adjustRightInd w:val="0"/>
        <w:snapToGrid w:val="0"/>
        <w:spacing w:before="60" w:line="312" w:lineRule="auto"/>
        <w:ind w:firstLine="567"/>
        <w:jc w:val="both"/>
        <w:rPr>
          <w:rFonts w:ascii="Times New Roman" w:hAnsi="Times New Roman"/>
          <w:sz w:val="28"/>
          <w:szCs w:val="28"/>
          <w:lang w:val="vi-VN"/>
        </w:rPr>
      </w:pPr>
      <w:r w:rsidRPr="008F1269">
        <w:rPr>
          <w:rFonts w:ascii="Times New Roman" w:hAnsi="Times New Roman"/>
          <w:sz w:val="28"/>
          <w:szCs w:val="28"/>
          <w:lang w:val="vi-VN"/>
        </w:rPr>
        <w:t>Về phong cách kiến trúc, đền tháp Pagan có thể chia làm ba giai đoạn: sơ k</w:t>
      </w:r>
      <w:r w:rsidRPr="00EF7BC0">
        <w:rPr>
          <w:rFonts w:ascii="Times New Roman" w:hAnsi="Times New Roman"/>
          <w:sz w:val="28"/>
          <w:szCs w:val="28"/>
          <w:lang w:val="vi-VN"/>
        </w:rPr>
        <w:t>ỳ</w:t>
      </w:r>
      <w:r w:rsidRPr="008F1269">
        <w:rPr>
          <w:rFonts w:ascii="Times New Roman" w:hAnsi="Times New Roman"/>
          <w:sz w:val="28"/>
          <w:szCs w:val="28"/>
          <w:lang w:val="vi-VN"/>
        </w:rPr>
        <w:t xml:space="preserve">, trung kỳ, hậu kỳ. Ở giai đoạn đầu các thiết kế chú trọng để ánh sáng mặt trời chiếu qua hành lang hẹp tới các bức tượng Phật trong tòa tháp. Giai đoạn hai bắt đầu từ </w:t>
      </w:r>
      <w:r>
        <w:rPr>
          <w:rFonts w:ascii="Times New Roman" w:hAnsi="Times New Roman"/>
          <w:sz w:val="28"/>
          <w:szCs w:val="28"/>
          <w:lang w:val="vi-VN"/>
        </w:rPr>
        <w:t>thế kỷ</w:t>
      </w:r>
      <w:r w:rsidRPr="008F1269">
        <w:rPr>
          <w:rFonts w:ascii="Times New Roman" w:hAnsi="Times New Roman"/>
          <w:sz w:val="28"/>
          <w:szCs w:val="28"/>
          <w:lang w:val="vi-VN"/>
        </w:rPr>
        <w:t xml:space="preserve"> XII, phản ánh ảnh hưởng của kiến trúc theo vũ trụ quan Pyu, ít có sự phân biệt giữa sảnh và điện thờ, ít quan tâm tới điều tiết ánh sáng. Trong giai đoạn cuối (1170</w:t>
      </w:r>
      <w:r w:rsidRPr="00EF7BC0">
        <w:rPr>
          <w:rFonts w:ascii="Times New Roman" w:hAnsi="Times New Roman"/>
          <w:sz w:val="28"/>
          <w:szCs w:val="28"/>
          <w:lang w:val="vi-VN"/>
        </w:rPr>
        <w:t xml:space="preserve"> </w:t>
      </w:r>
      <w:r>
        <w:rPr>
          <w:rFonts w:ascii="Times New Roman" w:hAnsi="Times New Roman"/>
          <w:sz w:val="28"/>
          <w:szCs w:val="28"/>
          <w:lang w:val="vi-VN"/>
        </w:rPr>
        <w:t>–</w:t>
      </w:r>
      <w:r w:rsidRPr="00EF7BC0">
        <w:rPr>
          <w:rFonts w:ascii="Times New Roman" w:hAnsi="Times New Roman"/>
          <w:sz w:val="28"/>
          <w:szCs w:val="28"/>
          <w:lang w:val="vi-VN"/>
        </w:rPr>
        <w:t xml:space="preserve"> </w:t>
      </w:r>
      <w:r w:rsidRPr="008F1269">
        <w:rPr>
          <w:rFonts w:ascii="Times New Roman" w:hAnsi="Times New Roman"/>
          <w:sz w:val="28"/>
          <w:szCs w:val="28"/>
          <w:lang w:val="vi-VN"/>
        </w:rPr>
        <w:t>1300) được đặc trưng bởi các tháp có bình đồ 5 mặt. Tiêu biểu trong số này là tháp Shwe</w:t>
      </w:r>
      <w:r>
        <w:rPr>
          <w:rFonts w:ascii="Times New Roman" w:hAnsi="Times New Roman"/>
          <w:sz w:val="28"/>
          <w:szCs w:val="28"/>
          <w:lang w:val="vi-VN"/>
        </w:rPr>
        <w:t>–</w:t>
      </w:r>
      <w:r w:rsidRPr="008F1269">
        <w:rPr>
          <w:rFonts w:ascii="Times New Roman" w:hAnsi="Times New Roman"/>
          <w:sz w:val="28"/>
          <w:szCs w:val="28"/>
          <w:lang w:val="vi-VN"/>
        </w:rPr>
        <w:t>hsan</w:t>
      </w:r>
      <w:r>
        <w:rPr>
          <w:rFonts w:ascii="Times New Roman" w:hAnsi="Times New Roman"/>
          <w:sz w:val="28"/>
          <w:szCs w:val="28"/>
          <w:lang w:val="vi-VN"/>
        </w:rPr>
        <w:t>–</w:t>
      </w:r>
      <w:r w:rsidRPr="008F1269">
        <w:rPr>
          <w:rFonts w:ascii="Times New Roman" w:hAnsi="Times New Roman"/>
          <w:sz w:val="28"/>
          <w:szCs w:val="28"/>
          <w:lang w:val="vi-VN"/>
        </w:rPr>
        <w:t>daw, tương truyền được Anawrahta xây dựng để cất giữ sợi tóc thiêng của Đức Phật từ Thaton. Tháp Myinkaba</w:t>
      </w:r>
      <w:r>
        <w:rPr>
          <w:rFonts w:ascii="Times New Roman" w:hAnsi="Times New Roman"/>
          <w:sz w:val="28"/>
          <w:szCs w:val="28"/>
          <w:lang w:val="vi-VN"/>
        </w:rPr>
        <w:t>–</w:t>
      </w:r>
      <w:r w:rsidRPr="008F1269">
        <w:rPr>
          <w:rFonts w:ascii="Times New Roman" w:hAnsi="Times New Roman"/>
          <w:sz w:val="28"/>
          <w:szCs w:val="28"/>
          <w:lang w:val="vi-VN"/>
        </w:rPr>
        <w:t>Kubyauk</w:t>
      </w:r>
      <w:r>
        <w:rPr>
          <w:rFonts w:ascii="Times New Roman" w:hAnsi="Times New Roman"/>
          <w:sz w:val="28"/>
          <w:szCs w:val="28"/>
          <w:lang w:val="vi-VN"/>
        </w:rPr>
        <w:t>–</w:t>
      </w:r>
      <w:r w:rsidRPr="008F1269">
        <w:rPr>
          <w:rFonts w:ascii="Times New Roman" w:hAnsi="Times New Roman"/>
          <w:sz w:val="28"/>
          <w:szCs w:val="28"/>
          <w:lang w:val="vi-VN"/>
        </w:rPr>
        <w:t xml:space="preserve">Gyi xây dựng bởi hoàng tử Rajakumar (1113) với tấm bia bốn mặt khắc chữ Pyu, Môn, Miến cổ và Pali. </w:t>
      </w:r>
    </w:p>
    <w:p w:rsidR="005B0293" w:rsidRPr="008F1269" w:rsidRDefault="005B0293" w:rsidP="005B0293">
      <w:pPr>
        <w:pStyle w:val="NoSpacing"/>
        <w:adjustRightInd w:val="0"/>
        <w:snapToGrid w:val="0"/>
        <w:spacing w:before="60" w:line="312" w:lineRule="auto"/>
        <w:ind w:firstLine="567"/>
        <w:jc w:val="both"/>
        <w:rPr>
          <w:rFonts w:ascii="Times New Roman" w:hAnsi="Times New Roman"/>
          <w:sz w:val="28"/>
          <w:szCs w:val="28"/>
          <w:lang w:val="vi-VN"/>
        </w:rPr>
      </w:pPr>
      <w:r w:rsidRPr="008F1269">
        <w:rPr>
          <w:rFonts w:ascii="Times New Roman" w:hAnsi="Times New Roman"/>
          <w:sz w:val="28"/>
          <w:szCs w:val="28"/>
          <w:lang w:val="vi-VN"/>
        </w:rPr>
        <w:t>Cuộc tấn công của Mông Cổ là một phần nguyên nhân sụp đổ của VQP. Trước đó, sự gia tăng ruộng chùa đã làm giảm nguồn lực tài chính và nhân lực của nhà nước. Từ giữa thế k</w:t>
      </w:r>
      <w:r w:rsidRPr="00EF7BC0">
        <w:rPr>
          <w:rFonts w:ascii="Times New Roman" w:hAnsi="Times New Roman"/>
          <w:sz w:val="28"/>
          <w:szCs w:val="28"/>
          <w:lang w:val="vi-VN"/>
        </w:rPr>
        <w:t>ỷ</w:t>
      </w:r>
      <w:r w:rsidRPr="008F1269">
        <w:rPr>
          <w:rFonts w:ascii="Times New Roman" w:hAnsi="Times New Roman"/>
          <w:sz w:val="28"/>
          <w:szCs w:val="28"/>
          <w:lang w:val="vi-VN"/>
        </w:rPr>
        <w:t xml:space="preserve"> XIII, VQP đối mặt với các cuộc nổi dậy ở Arakan và Martaban. Hai lần Mông Cổ yêu cầu triều cống (1271, 1273) đều bị người Miến từ chối. Hệ quả là năm 1277, VQP bị xâm lược và quân đội của họ bị đánh bại tại trận Ngasaungyan. Tới năm </w:t>
      </w:r>
      <w:r w:rsidRPr="008F1269">
        <w:rPr>
          <w:rFonts w:ascii="Times New Roman" w:hAnsi="Times New Roman"/>
          <w:sz w:val="28"/>
          <w:szCs w:val="28"/>
          <w:shd w:val="clear" w:color="auto" w:fill="FFFFFF"/>
          <w:lang w:val="vi-VN"/>
        </w:rPr>
        <w:t>1283</w:t>
      </w:r>
      <w:r w:rsidRPr="00EF7BC0">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w:t>
      </w:r>
      <w:r w:rsidRPr="00EF7BC0">
        <w:rPr>
          <w:rFonts w:ascii="Times New Roman" w:hAnsi="Times New Roman"/>
          <w:sz w:val="28"/>
          <w:szCs w:val="28"/>
          <w:shd w:val="clear" w:color="auto" w:fill="FFFFFF"/>
          <w:lang w:val="vi-VN"/>
        </w:rPr>
        <w:t xml:space="preserve"> 12</w:t>
      </w:r>
      <w:r w:rsidRPr="008F1269">
        <w:rPr>
          <w:rFonts w:ascii="Times New Roman" w:hAnsi="Times New Roman"/>
          <w:sz w:val="28"/>
          <w:szCs w:val="28"/>
          <w:shd w:val="clear" w:color="auto" w:fill="FFFFFF"/>
          <w:lang w:val="vi-VN"/>
        </w:rPr>
        <w:t xml:space="preserve">85, người Mông Cổ lại tấn công và </w:t>
      </w:r>
      <w:r w:rsidRPr="00EF7BC0">
        <w:rPr>
          <w:rFonts w:ascii="Times New Roman" w:hAnsi="Times New Roman"/>
          <w:sz w:val="28"/>
          <w:szCs w:val="28"/>
          <w:shd w:val="clear" w:color="auto" w:fill="FFFFFF"/>
          <w:lang w:val="vi-VN"/>
        </w:rPr>
        <w:t>N</w:t>
      </w:r>
      <w:r w:rsidRPr="008F1269">
        <w:rPr>
          <w:rFonts w:ascii="Times New Roman" w:hAnsi="Times New Roman"/>
          <w:sz w:val="28"/>
          <w:szCs w:val="28"/>
          <w:shd w:val="clear" w:color="auto" w:fill="FFFFFF"/>
          <w:lang w:val="vi-VN"/>
        </w:rPr>
        <w:t xml:space="preserve">hà vua </w:t>
      </w:r>
      <w:r w:rsidRPr="008F1269">
        <w:rPr>
          <w:rFonts w:ascii="Times New Roman" w:hAnsi="Times New Roman"/>
          <w:sz w:val="28"/>
          <w:szCs w:val="28"/>
          <w:lang w:val="vi-VN"/>
        </w:rPr>
        <w:lastRenderedPageBreak/>
        <w:t>Narathihapate (1255</w:t>
      </w:r>
      <w:r w:rsidRPr="00EF7BC0">
        <w:rPr>
          <w:rFonts w:ascii="Times New Roman" w:hAnsi="Times New Roman"/>
          <w:sz w:val="28"/>
          <w:szCs w:val="28"/>
          <w:lang w:val="vi-VN"/>
        </w:rPr>
        <w:t xml:space="preserve"> </w:t>
      </w:r>
      <w:r>
        <w:rPr>
          <w:rFonts w:ascii="Times New Roman" w:hAnsi="Times New Roman"/>
          <w:sz w:val="28"/>
          <w:szCs w:val="28"/>
          <w:lang w:val="vi-VN"/>
        </w:rPr>
        <w:t>–</w:t>
      </w:r>
      <w:r w:rsidRPr="00EF7BC0">
        <w:rPr>
          <w:rFonts w:ascii="Times New Roman" w:hAnsi="Times New Roman"/>
          <w:sz w:val="28"/>
          <w:szCs w:val="28"/>
          <w:lang w:val="vi-VN"/>
        </w:rPr>
        <w:t xml:space="preserve"> </w:t>
      </w:r>
      <w:r w:rsidRPr="008F1269">
        <w:rPr>
          <w:rFonts w:ascii="Times New Roman" w:hAnsi="Times New Roman"/>
          <w:sz w:val="28"/>
          <w:szCs w:val="28"/>
          <w:lang w:val="vi-VN"/>
        </w:rPr>
        <w:t xml:space="preserve">1287) bỏ chạy xuống phía nam. Ông được gọi là Tarokpye Min – </w:t>
      </w:r>
      <w:r w:rsidRPr="008F1269">
        <w:rPr>
          <w:rFonts w:ascii="Times New Roman" w:hAnsi="Times New Roman"/>
          <w:i/>
          <w:sz w:val="28"/>
          <w:szCs w:val="28"/>
          <w:lang w:val="vi-VN"/>
        </w:rPr>
        <w:t>Nhà vua chạy trốn người Trung Quốc</w:t>
      </w:r>
      <w:r w:rsidRPr="008F1269">
        <w:rPr>
          <w:rFonts w:ascii="Times New Roman" w:hAnsi="Times New Roman"/>
          <w:sz w:val="28"/>
          <w:szCs w:val="28"/>
          <w:lang w:val="vi-VN"/>
        </w:rPr>
        <w:t xml:space="preserve">.  Năm 1287, Narathihapate bị giết bởi con trai mình, mở đầu thời </w:t>
      </w:r>
      <w:r>
        <w:rPr>
          <w:rFonts w:ascii="Times New Roman" w:hAnsi="Times New Roman"/>
          <w:sz w:val="28"/>
          <w:szCs w:val="28"/>
          <w:lang w:val="vi-VN"/>
        </w:rPr>
        <w:t xml:space="preserve">kỳ </w:t>
      </w:r>
      <w:r w:rsidRPr="008F1269">
        <w:rPr>
          <w:rFonts w:ascii="Times New Roman" w:hAnsi="Times New Roman"/>
          <w:sz w:val="28"/>
          <w:szCs w:val="28"/>
          <w:lang w:val="vi-VN"/>
        </w:rPr>
        <w:t xml:space="preserve">hỗn loạn cho tới khi </w:t>
      </w:r>
      <w:r w:rsidRPr="00BB3852">
        <w:rPr>
          <w:rFonts w:ascii="Times New Roman" w:hAnsi="Times New Roman"/>
          <w:sz w:val="28"/>
          <w:szCs w:val="28"/>
          <w:lang w:val="vi-VN"/>
        </w:rPr>
        <w:t>N</w:t>
      </w:r>
      <w:r w:rsidRPr="008F1269">
        <w:rPr>
          <w:rFonts w:ascii="Times New Roman" w:hAnsi="Times New Roman"/>
          <w:sz w:val="28"/>
          <w:szCs w:val="28"/>
          <w:lang w:val="vi-VN"/>
        </w:rPr>
        <w:t xml:space="preserve">hà vua cuối cùng là Kyawzwa bị phế truất năm 1298. Khi đó, </w:t>
      </w:r>
      <w:r w:rsidRPr="008F1269">
        <w:rPr>
          <w:rFonts w:ascii="Times New Roman" w:hAnsi="Times New Roman"/>
          <w:sz w:val="28"/>
          <w:szCs w:val="28"/>
        </w:rPr>
        <w:t>VQP</w:t>
      </w:r>
      <w:r w:rsidRPr="008F1269">
        <w:rPr>
          <w:rFonts w:ascii="Times New Roman" w:hAnsi="Times New Roman"/>
          <w:sz w:val="28"/>
          <w:szCs w:val="28"/>
          <w:lang w:val="vi-VN"/>
        </w:rPr>
        <w:t xml:space="preserve"> bị phân chia thành ba trung tâm: Sagaing, Pinya, Pagan. </w:t>
      </w:r>
    </w:p>
    <w:p w:rsidR="005B0293" w:rsidRPr="008F1269" w:rsidRDefault="005B0293" w:rsidP="005B0293">
      <w:pPr>
        <w:pStyle w:val="NoSpacing"/>
        <w:adjustRightInd w:val="0"/>
        <w:snapToGrid w:val="0"/>
        <w:spacing w:before="60" w:line="312" w:lineRule="auto"/>
        <w:ind w:firstLine="567"/>
        <w:jc w:val="both"/>
        <w:rPr>
          <w:rFonts w:ascii="Times New Roman" w:hAnsi="Times New Roman"/>
          <w:sz w:val="28"/>
          <w:szCs w:val="28"/>
          <w:lang w:val="vi-VN"/>
        </w:rPr>
      </w:pPr>
      <w:r w:rsidRPr="008F1269">
        <w:rPr>
          <w:rFonts w:ascii="Times New Roman" w:hAnsi="Times New Roman"/>
          <w:sz w:val="28"/>
          <w:szCs w:val="28"/>
          <w:lang w:val="vi-VN"/>
        </w:rPr>
        <w:t>VQP đóng vai trò quan trọng trong tiến trình lịch sử Myanmar. Đây không chỉ là vương quốc đầu tiên xác lập nền cai trị của người Miến với tư cách là tộc người trung tâm mà còn xây dựng nền tảng tôn giáo, văn hóa, bản sắc chính trị, lãnh thổ cho các vương triều sau này, đặc biệt là mở đầu cho xu thế thống nhất lãnh thổ đa sắc tộc của Myanmar. Đối với lịch sử khu vực, VQP và Angkor là hai vương quốc hùng mạnh nhất Đông Nam Á lục địa ở thế k</w:t>
      </w:r>
      <w:r w:rsidRPr="00BB3852">
        <w:rPr>
          <w:rFonts w:ascii="Times New Roman" w:hAnsi="Times New Roman"/>
          <w:sz w:val="28"/>
          <w:szCs w:val="28"/>
          <w:lang w:val="vi-VN"/>
        </w:rPr>
        <w:t>ỷ</w:t>
      </w:r>
      <w:r w:rsidRPr="008F1269">
        <w:rPr>
          <w:rFonts w:ascii="Times New Roman" w:hAnsi="Times New Roman"/>
          <w:sz w:val="28"/>
          <w:szCs w:val="28"/>
          <w:lang w:val="vi-VN"/>
        </w:rPr>
        <w:t xml:space="preserve"> XI</w:t>
      </w:r>
      <w:r w:rsidRPr="00BB3852">
        <w:rPr>
          <w:rFonts w:ascii="Times New Roman" w:hAnsi="Times New Roman"/>
          <w:sz w:val="28"/>
          <w:szCs w:val="28"/>
          <w:lang w:val="vi-VN"/>
        </w:rPr>
        <w:t xml:space="preserve"> </w:t>
      </w:r>
      <w:r>
        <w:rPr>
          <w:rFonts w:ascii="Times New Roman" w:hAnsi="Times New Roman"/>
          <w:sz w:val="28"/>
          <w:szCs w:val="28"/>
          <w:lang w:val="vi-VN"/>
        </w:rPr>
        <w:t>–</w:t>
      </w:r>
      <w:r w:rsidRPr="00BB3852">
        <w:rPr>
          <w:rFonts w:ascii="Times New Roman" w:hAnsi="Times New Roman"/>
          <w:sz w:val="28"/>
          <w:szCs w:val="28"/>
          <w:lang w:val="vi-VN"/>
        </w:rPr>
        <w:t xml:space="preserve"> </w:t>
      </w:r>
      <w:r w:rsidRPr="008F1269">
        <w:rPr>
          <w:rFonts w:ascii="Times New Roman" w:hAnsi="Times New Roman"/>
          <w:sz w:val="28"/>
          <w:szCs w:val="28"/>
          <w:lang w:val="vi-VN"/>
        </w:rPr>
        <w:t xml:space="preserve">XII, tạo lập cơ sở cho các mối giao lưu khu vực trên nhiều khía cạnh, đặc biệt là tôn giáo và thương mại. </w:t>
      </w:r>
    </w:p>
    <w:p w:rsidR="005B0293" w:rsidRPr="008F1269" w:rsidRDefault="005B0293" w:rsidP="005B0293">
      <w:pPr>
        <w:adjustRightInd w:val="0"/>
        <w:snapToGrid w:val="0"/>
        <w:spacing w:before="60" w:line="312" w:lineRule="auto"/>
        <w:ind w:firstLine="720"/>
        <w:jc w:val="right"/>
        <w:rPr>
          <w:b/>
          <w:bCs/>
          <w:sz w:val="20"/>
          <w:szCs w:val="20"/>
          <w:lang w:val="vi-VN"/>
        </w:rPr>
      </w:pPr>
      <w:r w:rsidRPr="008F1269">
        <w:rPr>
          <w:b/>
          <w:bCs/>
          <w:sz w:val="20"/>
          <w:szCs w:val="20"/>
          <w:lang w:val="vi-VN"/>
        </w:rPr>
        <w:t>VŨ ĐỨC LIÊM</w:t>
      </w:r>
    </w:p>
    <w:p w:rsidR="005B0293" w:rsidRPr="008F1269" w:rsidRDefault="005B0293" w:rsidP="005B0293">
      <w:pPr>
        <w:adjustRightInd w:val="0"/>
        <w:snapToGrid w:val="0"/>
        <w:spacing w:before="60" w:line="312" w:lineRule="auto"/>
        <w:jc w:val="both"/>
        <w:rPr>
          <w:b/>
          <w:bCs/>
          <w:sz w:val="24"/>
          <w:szCs w:val="24"/>
          <w:lang w:val="vi-VN"/>
        </w:rPr>
      </w:pPr>
      <w:r w:rsidRPr="008F1269">
        <w:rPr>
          <w:b/>
          <w:bCs/>
          <w:sz w:val="24"/>
          <w:szCs w:val="24"/>
          <w:lang w:val="vi-VN"/>
        </w:rPr>
        <w:t>Tài liệu tham khảo</w:t>
      </w:r>
    </w:p>
    <w:p w:rsidR="005B0293" w:rsidRPr="009A0E16" w:rsidRDefault="005B0293" w:rsidP="005B0293">
      <w:pPr>
        <w:pStyle w:val="ListParagraph"/>
        <w:widowControl w:val="0"/>
        <w:numPr>
          <w:ilvl w:val="0"/>
          <w:numId w:val="1"/>
        </w:numPr>
        <w:tabs>
          <w:tab w:val="left" w:pos="270"/>
        </w:tabs>
        <w:autoSpaceDE w:val="0"/>
        <w:autoSpaceDN w:val="0"/>
        <w:adjustRightInd w:val="0"/>
        <w:snapToGrid w:val="0"/>
        <w:spacing w:before="60" w:line="312" w:lineRule="auto"/>
        <w:ind w:left="0" w:firstLine="0"/>
        <w:contextualSpacing w:val="0"/>
        <w:jc w:val="both"/>
        <w:rPr>
          <w:rStyle w:val="fontstyle01"/>
          <w:rFonts w:eastAsia="SimSun"/>
          <w:b/>
          <w:i w:val="0"/>
          <w:lang w:val="vi-VN"/>
        </w:rPr>
      </w:pPr>
      <w:bookmarkStart w:id="9" w:name="_Hlk144718157"/>
      <w:r w:rsidRPr="009A0E16">
        <w:rPr>
          <w:rStyle w:val="fontstyle01"/>
          <w:rFonts w:eastAsia="SimSun"/>
          <w:i w:val="0"/>
          <w:lang w:val="vi-VN"/>
        </w:rPr>
        <w:t xml:space="preserve">Vũ Quang Thiện, </w:t>
      </w:r>
      <w:r w:rsidRPr="009A0E16">
        <w:rPr>
          <w:rStyle w:val="fontstyle01"/>
          <w:rFonts w:eastAsia="SimSun"/>
          <w:iCs w:val="0"/>
          <w:lang w:val="vi-VN"/>
        </w:rPr>
        <w:t>Lịch sử Myanmar</w:t>
      </w:r>
      <w:r w:rsidRPr="009A0E16">
        <w:rPr>
          <w:rStyle w:val="fontstyle01"/>
          <w:rFonts w:eastAsia="SimSun"/>
          <w:lang w:val="vi-VN"/>
        </w:rPr>
        <w:t>,</w:t>
      </w:r>
      <w:r w:rsidRPr="009A0E16">
        <w:rPr>
          <w:rStyle w:val="fontstyle01"/>
          <w:rFonts w:eastAsia="SimSun"/>
          <w:i w:val="0"/>
          <w:lang w:val="vi-VN"/>
        </w:rPr>
        <w:t xml:space="preserve"> </w:t>
      </w:r>
      <w:r>
        <w:rPr>
          <w:rStyle w:val="fontstyle01"/>
          <w:rFonts w:eastAsia="SimSun"/>
          <w:i w:val="0"/>
          <w:lang w:val="vi-VN"/>
        </w:rPr>
        <w:t xml:space="preserve">Nxb. </w:t>
      </w:r>
      <w:r w:rsidRPr="009A0E16">
        <w:rPr>
          <w:rStyle w:val="fontstyle01"/>
          <w:rFonts w:eastAsia="SimSun"/>
          <w:i w:val="0"/>
          <w:lang w:val="vi-VN"/>
        </w:rPr>
        <w:t>Khoa học Xã hội, Hà Nội, 2005.</w:t>
      </w:r>
    </w:p>
    <w:bookmarkEnd w:id="9"/>
    <w:p w:rsidR="005B0293" w:rsidRPr="009A0E16" w:rsidRDefault="005B0293" w:rsidP="005B0293">
      <w:pPr>
        <w:pStyle w:val="ListParagraph"/>
        <w:widowControl w:val="0"/>
        <w:numPr>
          <w:ilvl w:val="0"/>
          <w:numId w:val="1"/>
        </w:numPr>
        <w:tabs>
          <w:tab w:val="left" w:pos="270"/>
        </w:tabs>
        <w:autoSpaceDE w:val="0"/>
        <w:autoSpaceDN w:val="0"/>
        <w:adjustRightInd w:val="0"/>
        <w:snapToGrid w:val="0"/>
        <w:spacing w:before="60" w:line="312" w:lineRule="auto"/>
        <w:ind w:left="0" w:firstLine="0"/>
        <w:contextualSpacing w:val="0"/>
        <w:jc w:val="both"/>
        <w:rPr>
          <w:rStyle w:val="fontstyle01"/>
          <w:rFonts w:eastAsia="SimSun"/>
          <w:b/>
          <w:i w:val="0"/>
        </w:rPr>
      </w:pPr>
      <w:r w:rsidRPr="008F1269">
        <w:rPr>
          <w:rStyle w:val="fontstyle01"/>
          <w:rFonts w:eastAsia="SimSun"/>
          <w:lang w:eastAsia="zh-CN"/>
        </w:rPr>
        <w:fldChar w:fldCharType="begin" w:fldLock="1"/>
      </w:r>
      <w:r w:rsidRPr="008F1269">
        <w:rPr>
          <w:rStyle w:val="fontstyle01"/>
          <w:rFonts w:eastAsia="SimSun"/>
          <w:lang w:val="vi-VN"/>
        </w:rPr>
        <w:instrText xml:space="preserve">ADDIN Mendeley Bibliography CSL_BIBLIOGRAPHY </w:instrText>
      </w:r>
      <w:r w:rsidRPr="008F1269">
        <w:rPr>
          <w:rStyle w:val="fontstyle01"/>
          <w:rFonts w:eastAsia="SimSun"/>
          <w:lang w:eastAsia="zh-CN"/>
        </w:rPr>
        <w:fldChar w:fldCharType="separate"/>
      </w:r>
      <w:r w:rsidRPr="009A0E16">
        <w:rPr>
          <w:rStyle w:val="fontstyle01"/>
          <w:rFonts w:eastAsia="SimSun"/>
          <w:i w:val="0"/>
        </w:rPr>
        <w:t>Harvey, G. E</w:t>
      </w:r>
      <w:r>
        <w:rPr>
          <w:rStyle w:val="fontstyle01"/>
          <w:rFonts w:eastAsia="SimSun"/>
          <w:i w:val="0"/>
        </w:rPr>
        <w:t xml:space="preserve">, </w:t>
      </w:r>
      <w:r w:rsidRPr="009A0E16">
        <w:rPr>
          <w:rStyle w:val="fontstyle01"/>
          <w:rFonts w:eastAsia="SimSun"/>
        </w:rPr>
        <w:t>History of Burma: From the Earliest Times to 10 March 1824</w:t>
      </w:r>
      <w:r>
        <w:rPr>
          <w:rStyle w:val="fontstyle01"/>
          <w:rFonts w:eastAsia="SimSun"/>
        </w:rPr>
        <w:t>,</w:t>
      </w:r>
      <w:r w:rsidRPr="009A0E16">
        <w:rPr>
          <w:rStyle w:val="fontstyle01"/>
          <w:rFonts w:eastAsia="SimSun"/>
        </w:rPr>
        <w:t xml:space="preserve"> </w:t>
      </w:r>
      <w:r w:rsidRPr="009A0E16">
        <w:rPr>
          <w:rStyle w:val="fontstyle01"/>
          <w:rFonts w:eastAsia="SimSun"/>
          <w:i w:val="0"/>
        </w:rPr>
        <w:t>London:</w:t>
      </w:r>
      <w:r w:rsidRPr="009A0E16">
        <w:rPr>
          <w:rStyle w:val="fontstyle01"/>
          <w:rFonts w:eastAsia="SimSun"/>
        </w:rPr>
        <w:t xml:space="preserve"> </w:t>
      </w:r>
      <w:r w:rsidRPr="009A0E16">
        <w:rPr>
          <w:rStyle w:val="fontstyle01"/>
          <w:rFonts w:eastAsia="SimSun"/>
          <w:i w:val="0"/>
        </w:rPr>
        <w:t xml:space="preserve">Frank Cass &amp; Co. Ltd, 1925 (Harvey, G. E. </w:t>
      </w:r>
      <w:r w:rsidRPr="009A0E16">
        <w:rPr>
          <w:rStyle w:val="fontstyle01"/>
          <w:rFonts w:eastAsia="SimSun"/>
        </w:rPr>
        <w:t xml:space="preserve">Lịch sử Myanmar từ những thời </w:t>
      </w:r>
      <w:r>
        <w:rPr>
          <w:rStyle w:val="fontstyle01"/>
          <w:rFonts w:eastAsia="SimSun"/>
        </w:rPr>
        <w:t xml:space="preserve">kỳ </w:t>
      </w:r>
      <w:r w:rsidRPr="009A0E16">
        <w:rPr>
          <w:rStyle w:val="fontstyle01"/>
          <w:rFonts w:eastAsia="SimSun"/>
        </w:rPr>
        <w:t>xa xưa nhất cho tới ngày 10</w:t>
      </w:r>
      <w:r>
        <w:rPr>
          <w:rStyle w:val="fontstyle01"/>
          <w:rFonts w:eastAsia="SimSun"/>
        </w:rPr>
        <w:t>.</w:t>
      </w:r>
      <w:r w:rsidRPr="009A0E16">
        <w:rPr>
          <w:rStyle w:val="fontstyle01"/>
          <w:rFonts w:eastAsia="SimSun"/>
        </w:rPr>
        <w:t>03</w:t>
      </w:r>
      <w:r>
        <w:rPr>
          <w:rStyle w:val="fontstyle01"/>
          <w:rFonts w:eastAsia="SimSun"/>
        </w:rPr>
        <w:t>.</w:t>
      </w:r>
      <w:r w:rsidRPr="009A0E16">
        <w:rPr>
          <w:rStyle w:val="fontstyle01"/>
          <w:rFonts w:eastAsia="SimSun"/>
        </w:rPr>
        <w:t>1824</w:t>
      </w:r>
      <w:r w:rsidRPr="009A0E16">
        <w:rPr>
          <w:rStyle w:val="fontstyle01"/>
          <w:rFonts w:eastAsia="SimSun"/>
          <w:i w:val="0"/>
        </w:rPr>
        <w:t xml:space="preserve">). </w:t>
      </w:r>
      <w:r>
        <w:rPr>
          <w:rStyle w:val="fontstyle01"/>
          <w:rFonts w:eastAsia="SimSun"/>
          <w:i w:val="0"/>
        </w:rPr>
        <w:t xml:space="preserve">Nxb. </w:t>
      </w:r>
      <w:r w:rsidRPr="009A0E16">
        <w:rPr>
          <w:rStyle w:val="fontstyle01"/>
          <w:rFonts w:eastAsia="SimSun"/>
          <w:i w:val="0"/>
        </w:rPr>
        <w:t>Frank Cass &amp; Co. Ltd, London, 1925)</w:t>
      </w:r>
      <w:r>
        <w:rPr>
          <w:rStyle w:val="fontstyle01"/>
          <w:rFonts w:eastAsia="SimSun"/>
          <w:i w:val="0"/>
        </w:rPr>
        <w:t>.</w:t>
      </w:r>
    </w:p>
    <w:p w:rsidR="005B0293" w:rsidRPr="008F1269" w:rsidRDefault="005B0293" w:rsidP="005B0293">
      <w:pPr>
        <w:pStyle w:val="ListParagraph"/>
        <w:widowControl w:val="0"/>
        <w:numPr>
          <w:ilvl w:val="0"/>
          <w:numId w:val="1"/>
        </w:numPr>
        <w:tabs>
          <w:tab w:val="left" w:pos="270"/>
        </w:tabs>
        <w:autoSpaceDE w:val="0"/>
        <w:autoSpaceDN w:val="0"/>
        <w:adjustRightInd w:val="0"/>
        <w:snapToGrid w:val="0"/>
        <w:spacing w:before="60" w:line="312" w:lineRule="auto"/>
        <w:ind w:left="0" w:firstLine="0"/>
        <w:contextualSpacing w:val="0"/>
        <w:jc w:val="both"/>
        <w:rPr>
          <w:b/>
          <w:sz w:val="24"/>
        </w:rPr>
      </w:pPr>
      <w:r w:rsidRPr="008F1269">
        <w:rPr>
          <w:rStyle w:val="fontstyle01"/>
          <w:rFonts w:eastAsia="SimSun"/>
          <w:i w:val="0"/>
        </w:rPr>
        <w:t>The Glass Palace Chronicle of the Kings of Burma</w:t>
      </w:r>
      <w:r>
        <w:rPr>
          <w:rStyle w:val="fontstyle01"/>
          <w:rFonts w:eastAsia="SimSun"/>
        </w:rPr>
        <w:t>,</w:t>
      </w:r>
      <w:r w:rsidRPr="008F1269">
        <w:rPr>
          <w:rStyle w:val="fontstyle01"/>
          <w:rFonts w:eastAsia="SimSun"/>
        </w:rPr>
        <w:t xml:space="preserve"> Rangoon: Rangoon University Press, 1960 (</w:t>
      </w:r>
      <w:r w:rsidRPr="008F1269">
        <w:rPr>
          <w:rStyle w:val="fontstyle01"/>
          <w:rFonts w:eastAsia="SimSun"/>
          <w:i w:val="0"/>
          <w:iCs w:val="0"/>
        </w:rPr>
        <w:t xml:space="preserve">Biên niên sử </w:t>
      </w:r>
      <w:r>
        <w:rPr>
          <w:rStyle w:val="fontstyle01"/>
          <w:rFonts w:eastAsia="SimSun"/>
          <w:i w:val="0"/>
          <w:iCs w:val="0"/>
        </w:rPr>
        <w:t>L</w:t>
      </w:r>
      <w:r w:rsidRPr="008F1269">
        <w:rPr>
          <w:rStyle w:val="fontstyle01"/>
          <w:rFonts w:eastAsia="SimSun"/>
          <w:i w:val="0"/>
          <w:iCs w:val="0"/>
        </w:rPr>
        <w:t>âu đài Kính của các vương quốc Myanmar</w:t>
      </w:r>
      <w:r w:rsidRPr="008F1269">
        <w:rPr>
          <w:rStyle w:val="fontstyle01"/>
          <w:rFonts w:eastAsia="SimSun"/>
        </w:rPr>
        <w:t xml:space="preserve">, dịch biơ Luce, Gordon H., và U Pe Maung Tin, </w:t>
      </w:r>
      <w:r>
        <w:rPr>
          <w:rStyle w:val="fontstyle01"/>
          <w:rFonts w:eastAsia="SimSun"/>
        </w:rPr>
        <w:t xml:space="preserve">Nxb. </w:t>
      </w:r>
      <w:r w:rsidRPr="008F1269">
        <w:rPr>
          <w:rStyle w:val="fontstyle01"/>
          <w:rFonts w:eastAsia="SimSun"/>
        </w:rPr>
        <w:t>Đại học Rangoon, Rangoon, 1960</w:t>
      </w:r>
      <w:r>
        <w:rPr>
          <w:rStyle w:val="fontstyle01"/>
          <w:rFonts w:eastAsia="SimSun"/>
        </w:rPr>
        <w:t>).</w:t>
      </w:r>
    </w:p>
    <w:p w:rsidR="005B0293" w:rsidRPr="009A0E16" w:rsidRDefault="005B0293" w:rsidP="005B0293">
      <w:pPr>
        <w:pStyle w:val="ListParagraph"/>
        <w:widowControl w:val="0"/>
        <w:numPr>
          <w:ilvl w:val="0"/>
          <w:numId w:val="1"/>
        </w:numPr>
        <w:tabs>
          <w:tab w:val="left" w:pos="270"/>
        </w:tabs>
        <w:autoSpaceDE w:val="0"/>
        <w:autoSpaceDN w:val="0"/>
        <w:adjustRightInd w:val="0"/>
        <w:snapToGrid w:val="0"/>
        <w:spacing w:before="60" w:line="312" w:lineRule="auto"/>
        <w:ind w:left="0" w:firstLine="0"/>
        <w:contextualSpacing w:val="0"/>
        <w:jc w:val="both"/>
        <w:rPr>
          <w:rStyle w:val="fontstyle01"/>
          <w:rFonts w:eastAsia="SimSun"/>
          <w:b/>
          <w:i w:val="0"/>
        </w:rPr>
      </w:pPr>
      <w:r w:rsidRPr="009A0E16">
        <w:rPr>
          <w:rStyle w:val="fontstyle01"/>
          <w:rFonts w:eastAsia="SimSun"/>
          <w:i w:val="0"/>
        </w:rPr>
        <w:t>Coedes, George</w:t>
      </w:r>
      <w:r>
        <w:rPr>
          <w:rStyle w:val="fontstyle01"/>
          <w:rFonts w:eastAsia="SimSun"/>
          <w:i w:val="0"/>
        </w:rPr>
        <w:t>,</w:t>
      </w:r>
      <w:r w:rsidRPr="009A0E16">
        <w:rPr>
          <w:rStyle w:val="fontstyle01"/>
          <w:rFonts w:eastAsia="SimSun"/>
          <w:i w:val="0"/>
        </w:rPr>
        <w:t xml:space="preserve"> </w:t>
      </w:r>
      <w:r w:rsidRPr="009A0E16">
        <w:rPr>
          <w:rStyle w:val="fontstyle01"/>
          <w:rFonts w:eastAsia="SimSun"/>
        </w:rPr>
        <w:t>The Making of Southeast Asia. Berkeley and Los Angeles</w:t>
      </w:r>
      <w:r>
        <w:rPr>
          <w:rStyle w:val="fontstyle01"/>
          <w:rFonts w:eastAsia="SimSun"/>
        </w:rPr>
        <w:t>,</w:t>
      </w:r>
      <w:r w:rsidRPr="009A0E16">
        <w:rPr>
          <w:rStyle w:val="fontstyle01"/>
          <w:rFonts w:eastAsia="SimSun"/>
        </w:rPr>
        <w:t xml:space="preserve"> </w:t>
      </w:r>
      <w:r w:rsidRPr="009A0E16">
        <w:rPr>
          <w:rStyle w:val="fontstyle01"/>
          <w:rFonts w:eastAsia="SimSun"/>
          <w:i w:val="0"/>
        </w:rPr>
        <w:t xml:space="preserve">University of California Press, 1967 (Coedes, George. </w:t>
      </w:r>
      <w:r w:rsidRPr="00FC67CD">
        <w:rPr>
          <w:rStyle w:val="fontstyle01"/>
          <w:rFonts w:eastAsia="SimSun"/>
          <w:iCs w:val="0"/>
        </w:rPr>
        <w:t>Sự ra đời của Đông Nam Á</w:t>
      </w:r>
      <w:r w:rsidRPr="00FC67CD">
        <w:rPr>
          <w:rStyle w:val="fontstyle01"/>
          <w:rFonts w:eastAsia="SimSun"/>
        </w:rPr>
        <w:t xml:space="preserve">. </w:t>
      </w:r>
      <w:r>
        <w:rPr>
          <w:rStyle w:val="fontstyle01"/>
          <w:rFonts w:eastAsia="SimSun"/>
          <w:i w:val="0"/>
        </w:rPr>
        <w:t xml:space="preserve">Nxb. </w:t>
      </w:r>
      <w:r w:rsidRPr="009A0E16">
        <w:rPr>
          <w:rStyle w:val="fontstyle01"/>
          <w:rFonts w:eastAsia="SimSun"/>
          <w:i w:val="0"/>
        </w:rPr>
        <w:t>Đại học California, Berkeley và Los Angeles, 1967).</w:t>
      </w:r>
    </w:p>
    <w:p w:rsidR="005B0293" w:rsidRPr="009A0E16" w:rsidRDefault="005B0293" w:rsidP="005B0293">
      <w:pPr>
        <w:pStyle w:val="ListParagraph"/>
        <w:widowControl w:val="0"/>
        <w:numPr>
          <w:ilvl w:val="0"/>
          <w:numId w:val="1"/>
        </w:numPr>
        <w:tabs>
          <w:tab w:val="left" w:pos="270"/>
        </w:tabs>
        <w:autoSpaceDE w:val="0"/>
        <w:autoSpaceDN w:val="0"/>
        <w:adjustRightInd w:val="0"/>
        <w:snapToGrid w:val="0"/>
        <w:spacing w:before="60" w:line="312" w:lineRule="auto"/>
        <w:ind w:left="0" w:firstLine="0"/>
        <w:contextualSpacing w:val="0"/>
        <w:jc w:val="both"/>
        <w:rPr>
          <w:rStyle w:val="fontstyle01"/>
          <w:rFonts w:eastAsia="SimSun"/>
          <w:b/>
          <w:i w:val="0"/>
        </w:rPr>
      </w:pPr>
      <w:r w:rsidRPr="009A0E16">
        <w:rPr>
          <w:rStyle w:val="fontstyle01"/>
          <w:rFonts w:eastAsia="SimSun"/>
          <w:i w:val="0"/>
        </w:rPr>
        <w:t>Aung</w:t>
      </w:r>
      <w:r>
        <w:rPr>
          <w:rStyle w:val="fontstyle01"/>
          <w:rFonts w:eastAsia="SimSun"/>
          <w:i w:val="0"/>
        </w:rPr>
        <w:t>–</w:t>
      </w:r>
      <w:r w:rsidRPr="009A0E16">
        <w:rPr>
          <w:rStyle w:val="fontstyle01"/>
          <w:rFonts w:eastAsia="SimSun"/>
          <w:i w:val="0"/>
        </w:rPr>
        <w:t>Thwin, Michael</w:t>
      </w:r>
      <w:r>
        <w:rPr>
          <w:rStyle w:val="fontstyle01"/>
          <w:rFonts w:eastAsia="SimSun"/>
          <w:i w:val="0"/>
        </w:rPr>
        <w:t>,</w:t>
      </w:r>
      <w:r w:rsidRPr="009A0E16">
        <w:rPr>
          <w:rStyle w:val="fontstyle01"/>
          <w:rFonts w:eastAsia="SimSun"/>
          <w:i w:val="0"/>
        </w:rPr>
        <w:t xml:space="preserve"> </w:t>
      </w:r>
      <w:r w:rsidRPr="009A0E16">
        <w:rPr>
          <w:rStyle w:val="fontstyle01"/>
          <w:rFonts w:eastAsia="SimSun"/>
        </w:rPr>
        <w:t>Pagan: The Origins of Modern Burma. Honolulu</w:t>
      </w:r>
      <w:r>
        <w:rPr>
          <w:rStyle w:val="fontstyle01"/>
          <w:rFonts w:eastAsia="SimSun"/>
        </w:rPr>
        <w:t>,</w:t>
      </w:r>
      <w:r w:rsidRPr="009A0E16">
        <w:rPr>
          <w:rStyle w:val="fontstyle01"/>
          <w:rFonts w:eastAsia="SimSun"/>
          <w:i w:val="0"/>
        </w:rPr>
        <w:t xml:space="preserve"> University of Hawai’i Press, 1985 (Aung</w:t>
      </w:r>
      <w:r>
        <w:rPr>
          <w:rStyle w:val="fontstyle01"/>
          <w:rFonts w:eastAsia="SimSun"/>
          <w:i w:val="0"/>
        </w:rPr>
        <w:t>–</w:t>
      </w:r>
      <w:r w:rsidRPr="009A0E16">
        <w:rPr>
          <w:rStyle w:val="fontstyle01"/>
          <w:rFonts w:eastAsia="SimSun"/>
          <w:i w:val="0"/>
        </w:rPr>
        <w:t>Thwin, Michael</w:t>
      </w:r>
      <w:r>
        <w:rPr>
          <w:rStyle w:val="fontstyle01"/>
          <w:rFonts w:eastAsia="SimSun"/>
          <w:i w:val="0"/>
        </w:rPr>
        <w:t>,</w:t>
      </w:r>
      <w:r w:rsidRPr="009A0E16">
        <w:rPr>
          <w:rStyle w:val="fontstyle01"/>
          <w:rFonts w:eastAsia="SimSun"/>
          <w:i w:val="0"/>
        </w:rPr>
        <w:t xml:space="preserve"> </w:t>
      </w:r>
      <w:r w:rsidRPr="00FC67CD">
        <w:rPr>
          <w:rStyle w:val="fontstyle01"/>
          <w:rFonts w:eastAsia="SimSun"/>
          <w:iCs w:val="0"/>
        </w:rPr>
        <w:t>Pagan: các nguồn gốc của Myanmar hiện đại</w:t>
      </w:r>
      <w:r>
        <w:rPr>
          <w:rStyle w:val="fontstyle01"/>
          <w:rFonts w:eastAsia="SimSun"/>
          <w:i w:val="0"/>
        </w:rPr>
        <w:t>,</w:t>
      </w:r>
      <w:r w:rsidRPr="009A0E16">
        <w:rPr>
          <w:rStyle w:val="fontstyle01"/>
          <w:rFonts w:eastAsia="SimSun"/>
          <w:i w:val="0"/>
        </w:rPr>
        <w:t xml:space="preserve"> Nxb</w:t>
      </w:r>
      <w:r>
        <w:rPr>
          <w:rStyle w:val="fontstyle01"/>
          <w:rFonts w:eastAsia="SimSun"/>
          <w:i w:val="0"/>
        </w:rPr>
        <w:t>.</w:t>
      </w:r>
      <w:r w:rsidRPr="009A0E16">
        <w:rPr>
          <w:rStyle w:val="fontstyle01"/>
          <w:rFonts w:eastAsia="SimSun"/>
          <w:i w:val="0"/>
        </w:rPr>
        <w:t xml:space="preserve"> Đại học Hawai’i, Honolulu, 1985).</w:t>
      </w:r>
    </w:p>
    <w:p w:rsidR="005B0293" w:rsidRPr="008F1269" w:rsidRDefault="005B0293" w:rsidP="005B0293">
      <w:pPr>
        <w:pStyle w:val="ListParagraph"/>
        <w:widowControl w:val="0"/>
        <w:tabs>
          <w:tab w:val="left" w:pos="270"/>
        </w:tabs>
        <w:autoSpaceDE w:val="0"/>
        <w:autoSpaceDN w:val="0"/>
        <w:adjustRightInd w:val="0"/>
        <w:snapToGrid w:val="0"/>
        <w:spacing w:before="60" w:line="312" w:lineRule="auto"/>
        <w:ind w:left="0"/>
        <w:contextualSpacing w:val="0"/>
        <w:jc w:val="both"/>
        <w:rPr>
          <w:rStyle w:val="fontstyle01"/>
          <w:rFonts w:eastAsia="SimSun"/>
          <w:b/>
        </w:rPr>
      </w:pPr>
    </w:p>
    <w:p w:rsidR="00C84020" w:rsidRDefault="005B0293" w:rsidP="005B0293">
      <w:r w:rsidRPr="008F1269">
        <w:rPr>
          <w:rStyle w:val="fontstyle01"/>
          <w:rFonts w:eastAsia="SimSun"/>
        </w:rPr>
        <w:fldChar w:fldCharType="end"/>
      </w:r>
    </w:p>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GaramondPro-Italic">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22BA6"/>
    <w:multiLevelType w:val="multilevel"/>
    <w:tmpl w:val="55B8C87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046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93"/>
    <w:rsid w:val="005B0293"/>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0D534-E6E1-AC40-BB64-31F38039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293"/>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5B0293"/>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B0293"/>
    <w:rPr>
      <w:rFonts w:ascii="Times New Roman" w:eastAsia="SimSun" w:hAnsi="Times New Roman" w:cs="Times New Roman"/>
      <w:b/>
      <w:kern w:val="44"/>
      <w:szCs w:val="22"/>
      <w:lang w:val="en-US" w:eastAsia="en-US"/>
      <w14:ligatures w14:val="none"/>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5B0293"/>
    <w:pPr>
      <w:ind w:left="720"/>
      <w:contextualSpacing/>
    </w:pPr>
  </w:style>
  <w:style w:type="character" w:customStyle="1" w:styleId="fontstyle01">
    <w:name w:val="fontstyle01"/>
    <w:qFormat/>
    <w:rsid w:val="005B0293"/>
    <w:rPr>
      <w:rFonts w:ascii="AGaramondPro-Italic" w:hAnsi="AGaramondPro-Italic" w:hint="default"/>
      <w:b w:val="0"/>
      <w:bCs w:val="0"/>
      <w:i/>
      <w:iCs/>
      <w:color w:val="3D3E3F"/>
      <w:sz w:val="22"/>
      <w:szCs w:val="22"/>
    </w:rPr>
  </w:style>
  <w:style w:type="paragraph" w:styleId="NoSpacing">
    <w:name w:val="No Spacing"/>
    <w:uiPriority w:val="1"/>
    <w:qFormat/>
    <w:rsid w:val="005B0293"/>
    <w:rPr>
      <w:rFonts w:ascii="Calibri" w:eastAsia="SimSun" w:hAnsi="Calibri" w:cs="Times New Roman"/>
      <w:kern w:val="0"/>
      <w:sz w:val="22"/>
      <w:szCs w:val="22"/>
      <w:lang w:val="en-US"/>
      <w14:ligatures w14:val="none"/>
    </w:r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5B0293"/>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2025-12-04T20:15:00Z</dcterms:created>
  <dcterms:modified xsi:type="dcterms:W3CDTF">2025-12-04T20:15:00Z</dcterms:modified>
</cp:coreProperties>
</file>